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FCE" w:rsidRPr="00B64C23" w:rsidRDefault="00617A86" w:rsidP="00B64C23">
      <w:pPr>
        <w:numPr>
          <w:ilvl w:val="0"/>
          <w:numId w:val="1"/>
        </w:numPr>
        <w:tabs>
          <w:tab w:val="clear" w:pos="720"/>
          <w:tab w:val="left" w:pos="567"/>
        </w:tabs>
        <w:spacing w:before="240"/>
        <w:ind w:left="567" w:hanging="567"/>
        <w:jc w:val="both"/>
        <w:rPr>
          <w:rFonts w:cs="Arial"/>
          <w:bCs/>
          <w:spacing w:val="-3"/>
          <w:sz w:val="22"/>
          <w:szCs w:val="22"/>
        </w:rPr>
      </w:pPr>
      <w:bookmarkStart w:id="0" w:name="_GoBack"/>
      <w:bookmarkEnd w:id="0"/>
      <w:r w:rsidRPr="00B64C23">
        <w:rPr>
          <w:rFonts w:cs="Arial"/>
          <w:sz w:val="22"/>
          <w:szCs w:val="22"/>
        </w:rPr>
        <w:t xml:space="preserve">The </w:t>
      </w:r>
      <w:r w:rsidR="009706E9" w:rsidRPr="00B64C23">
        <w:rPr>
          <w:rFonts w:cs="Arial"/>
          <w:bCs/>
          <w:spacing w:val="-3"/>
          <w:sz w:val="22"/>
          <w:szCs w:val="22"/>
        </w:rPr>
        <w:t>Racing and Other Legislation Amendment Bill 2010</w:t>
      </w:r>
      <w:r w:rsidR="009706E9" w:rsidRPr="00B64C23">
        <w:rPr>
          <w:rFonts w:cs="Arial"/>
          <w:bCs/>
          <w:i/>
          <w:spacing w:val="-3"/>
          <w:sz w:val="22"/>
          <w:szCs w:val="22"/>
        </w:rPr>
        <w:t xml:space="preserve"> </w:t>
      </w:r>
      <w:r w:rsidR="009706E9" w:rsidRPr="00B64C23">
        <w:rPr>
          <w:rFonts w:cs="Arial"/>
          <w:bCs/>
          <w:spacing w:val="-3"/>
          <w:sz w:val="22"/>
          <w:szCs w:val="22"/>
        </w:rPr>
        <w:t>(the Bill)</w:t>
      </w:r>
      <w:r w:rsidR="009706E9" w:rsidRPr="00B64C23">
        <w:rPr>
          <w:rFonts w:cs="Arial"/>
          <w:sz w:val="22"/>
          <w:szCs w:val="22"/>
        </w:rPr>
        <w:t>,</w:t>
      </w:r>
      <w:r w:rsidRPr="00B64C23">
        <w:rPr>
          <w:rFonts w:cs="Arial"/>
          <w:sz w:val="22"/>
          <w:szCs w:val="22"/>
        </w:rPr>
        <w:t xml:space="preserve"> amends the </w:t>
      </w:r>
      <w:r w:rsidRPr="00B64C23">
        <w:rPr>
          <w:rFonts w:cs="Arial"/>
          <w:i/>
          <w:sz w:val="22"/>
          <w:szCs w:val="22"/>
        </w:rPr>
        <w:t>Racing Act 2002</w:t>
      </w:r>
      <w:r w:rsidRPr="00B64C23">
        <w:rPr>
          <w:rFonts w:cs="Arial"/>
          <w:sz w:val="22"/>
          <w:szCs w:val="22"/>
        </w:rPr>
        <w:t xml:space="preserve">, the </w:t>
      </w:r>
      <w:r w:rsidRPr="00B64C23">
        <w:rPr>
          <w:rFonts w:cs="Arial"/>
          <w:i/>
          <w:sz w:val="22"/>
          <w:szCs w:val="22"/>
        </w:rPr>
        <w:t>Wagering Act 1998</w:t>
      </w:r>
      <w:r w:rsidRPr="00B64C23">
        <w:rPr>
          <w:rFonts w:cs="Arial"/>
          <w:sz w:val="22"/>
          <w:szCs w:val="22"/>
        </w:rPr>
        <w:t xml:space="preserve">, and the </w:t>
      </w:r>
      <w:r w:rsidRPr="00B64C23">
        <w:rPr>
          <w:rFonts w:cs="Arial"/>
          <w:i/>
          <w:sz w:val="22"/>
          <w:szCs w:val="22"/>
        </w:rPr>
        <w:t>Gaming Machine Act 1991</w:t>
      </w:r>
      <w:r w:rsidR="00CB7169" w:rsidRPr="00B64C23">
        <w:rPr>
          <w:rFonts w:cs="Arial"/>
          <w:sz w:val="22"/>
          <w:szCs w:val="22"/>
        </w:rPr>
        <w:t xml:space="preserve"> administered by the Department of Employment, Economic Development and Innovat</w:t>
      </w:r>
      <w:r w:rsidR="007F2D23" w:rsidRPr="00B64C23">
        <w:rPr>
          <w:rFonts w:cs="Arial"/>
          <w:sz w:val="22"/>
          <w:szCs w:val="22"/>
        </w:rPr>
        <w:t>i</w:t>
      </w:r>
      <w:r w:rsidR="00CB7169" w:rsidRPr="00B64C23">
        <w:rPr>
          <w:rFonts w:cs="Arial"/>
          <w:sz w:val="22"/>
          <w:szCs w:val="22"/>
        </w:rPr>
        <w:t>on.</w:t>
      </w:r>
    </w:p>
    <w:p w:rsidR="00CB7169" w:rsidRPr="00B64C23" w:rsidRDefault="00CB7169" w:rsidP="00B64C23">
      <w:pPr>
        <w:numPr>
          <w:ilvl w:val="0"/>
          <w:numId w:val="1"/>
        </w:numPr>
        <w:tabs>
          <w:tab w:val="clear" w:pos="720"/>
          <w:tab w:val="num" w:pos="540"/>
        </w:tabs>
        <w:spacing w:before="240"/>
        <w:ind w:left="540" w:hanging="540"/>
        <w:jc w:val="both"/>
        <w:rPr>
          <w:rFonts w:cs="Arial"/>
          <w:sz w:val="22"/>
          <w:szCs w:val="22"/>
        </w:rPr>
      </w:pPr>
      <w:r w:rsidRPr="00B64C23">
        <w:rPr>
          <w:rFonts w:cs="Arial"/>
          <w:sz w:val="22"/>
          <w:szCs w:val="22"/>
        </w:rPr>
        <w:t>The object of the Bill is to effect the amalgamation of the three existing racing industry control bodies</w:t>
      </w:r>
      <w:r w:rsidR="00652E7A" w:rsidRPr="00B64C23">
        <w:rPr>
          <w:rFonts w:cs="Arial"/>
          <w:sz w:val="22"/>
          <w:szCs w:val="22"/>
        </w:rPr>
        <w:t xml:space="preserve">, </w:t>
      </w:r>
      <w:r w:rsidRPr="00B64C23">
        <w:rPr>
          <w:rFonts w:eastAsia="PMingLiU" w:cs="Arial"/>
          <w:color w:val="000000"/>
          <w:sz w:val="22"/>
          <w:szCs w:val="22"/>
          <w:lang w:eastAsia="zh-TW"/>
        </w:rPr>
        <w:t>Queensland Racing</w:t>
      </w:r>
      <w:r w:rsidR="005F3193" w:rsidRPr="00B64C23">
        <w:rPr>
          <w:rFonts w:eastAsia="PMingLiU" w:cs="Arial"/>
          <w:color w:val="000000"/>
          <w:sz w:val="22"/>
          <w:szCs w:val="22"/>
          <w:lang w:eastAsia="zh-TW"/>
        </w:rPr>
        <w:t xml:space="preserve"> Limited</w:t>
      </w:r>
      <w:r w:rsidRPr="00B64C23">
        <w:rPr>
          <w:rFonts w:eastAsia="PMingLiU" w:cs="Arial"/>
          <w:color w:val="000000"/>
          <w:sz w:val="22"/>
          <w:szCs w:val="22"/>
          <w:lang w:eastAsia="zh-TW"/>
        </w:rPr>
        <w:t xml:space="preserve">, </w:t>
      </w:r>
      <w:r w:rsidR="005F3193" w:rsidRPr="00B64C23">
        <w:rPr>
          <w:rFonts w:eastAsia="PMingLiU" w:cs="Arial"/>
          <w:color w:val="000000"/>
          <w:sz w:val="22"/>
          <w:szCs w:val="22"/>
          <w:lang w:eastAsia="zh-TW"/>
        </w:rPr>
        <w:t xml:space="preserve">Queensland </w:t>
      </w:r>
      <w:r w:rsidRPr="00B64C23">
        <w:rPr>
          <w:rFonts w:eastAsia="PMingLiU" w:cs="Arial"/>
          <w:color w:val="000000"/>
          <w:sz w:val="22"/>
          <w:szCs w:val="22"/>
          <w:lang w:eastAsia="zh-TW"/>
        </w:rPr>
        <w:t xml:space="preserve">Harness Racing </w:t>
      </w:r>
      <w:r w:rsidR="005F3193" w:rsidRPr="00B64C23">
        <w:rPr>
          <w:rFonts w:eastAsia="PMingLiU" w:cs="Arial"/>
          <w:color w:val="000000"/>
          <w:sz w:val="22"/>
          <w:szCs w:val="22"/>
          <w:lang w:eastAsia="zh-TW"/>
        </w:rPr>
        <w:t>Limited</w:t>
      </w:r>
      <w:r w:rsidRPr="00B64C23">
        <w:rPr>
          <w:rFonts w:eastAsia="PMingLiU" w:cs="Arial"/>
          <w:color w:val="000000"/>
          <w:sz w:val="22"/>
          <w:szCs w:val="22"/>
          <w:lang w:eastAsia="zh-TW"/>
        </w:rPr>
        <w:t xml:space="preserve"> and Greyhounds Queensland</w:t>
      </w:r>
      <w:r w:rsidR="005F3193" w:rsidRPr="00B64C23">
        <w:rPr>
          <w:rFonts w:eastAsia="PMingLiU" w:cs="Arial"/>
          <w:color w:val="000000"/>
          <w:sz w:val="22"/>
          <w:szCs w:val="22"/>
          <w:lang w:eastAsia="zh-TW"/>
        </w:rPr>
        <w:t xml:space="preserve"> Limited</w:t>
      </w:r>
      <w:r w:rsidR="00652E7A" w:rsidRPr="00B64C23">
        <w:rPr>
          <w:rFonts w:eastAsia="PMingLiU" w:cs="Arial"/>
          <w:color w:val="000000"/>
          <w:sz w:val="22"/>
          <w:szCs w:val="22"/>
          <w:lang w:eastAsia="zh-TW"/>
        </w:rPr>
        <w:t xml:space="preserve">, to form one control body, </w:t>
      </w:r>
      <w:r w:rsidRPr="00B64C23">
        <w:rPr>
          <w:rFonts w:eastAsia="PMingLiU" w:cs="Arial"/>
          <w:color w:val="000000"/>
          <w:sz w:val="22"/>
          <w:szCs w:val="22"/>
          <w:lang w:eastAsia="zh-TW"/>
        </w:rPr>
        <w:t>Racing Queensland</w:t>
      </w:r>
      <w:r w:rsidR="005F3193" w:rsidRPr="00B64C23">
        <w:rPr>
          <w:rFonts w:eastAsia="PMingLiU" w:cs="Arial"/>
          <w:color w:val="000000"/>
          <w:sz w:val="22"/>
          <w:szCs w:val="22"/>
          <w:lang w:eastAsia="zh-TW"/>
        </w:rPr>
        <w:t xml:space="preserve"> Limited</w:t>
      </w:r>
      <w:r w:rsidR="00652E7A" w:rsidRPr="00B64C23">
        <w:rPr>
          <w:rFonts w:eastAsia="PMingLiU" w:cs="Arial"/>
          <w:color w:val="000000"/>
          <w:sz w:val="22"/>
          <w:szCs w:val="22"/>
          <w:lang w:eastAsia="zh-TW"/>
        </w:rPr>
        <w:t>,</w:t>
      </w:r>
      <w:r w:rsidRPr="00B64C23">
        <w:rPr>
          <w:rFonts w:eastAsia="PMingLiU" w:cs="Arial"/>
          <w:color w:val="000000"/>
          <w:sz w:val="22"/>
          <w:szCs w:val="22"/>
          <w:lang w:eastAsia="zh-TW"/>
        </w:rPr>
        <w:t xml:space="preserve"> for all three codes of racing, and facilitate the payment of monies to the amalgamated control body under the Racing Industry Capital Development Scheme (the development scheme).</w:t>
      </w:r>
    </w:p>
    <w:p w:rsidR="00CB7169" w:rsidRPr="00B64C23" w:rsidRDefault="00CB7169" w:rsidP="00B64C23">
      <w:pPr>
        <w:numPr>
          <w:ilvl w:val="0"/>
          <w:numId w:val="1"/>
        </w:numPr>
        <w:tabs>
          <w:tab w:val="clear" w:pos="720"/>
          <w:tab w:val="num" w:pos="540"/>
        </w:tabs>
        <w:spacing w:before="240"/>
        <w:ind w:left="540" w:hanging="540"/>
        <w:jc w:val="both"/>
        <w:rPr>
          <w:rFonts w:cs="Arial"/>
          <w:sz w:val="22"/>
          <w:szCs w:val="22"/>
        </w:rPr>
      </w:pPr>
      <w:r w:rsidRPr="00B64C23">
        <w:rPr>
          <w:rFonts w:cs="Arial"/>
          <w:sz w:val="22"/>
          <w:szCs w:val="22"/>
        </w:rPr>
        <w:t xml:space="preserve">It is proposed that amendments to the </w:t>
      </w:r>
      <w:r w:rsidRPr="00B64C23">
        <w:rPr>
          <w:rFonts w:cs="Arial"/>
          <w:i/>
          <w:sz w:val="22"/>
          <w:szCs w:val="22"/>
        </w:rPr>
        <w:t>Racing Act 2002</w:t>
      </w:r>
      <w:r w:rsidRPr="00B64C23">
        <w:rPr>
          <w:rFonts w:cs="Arial"/>
          <w:sz w:val="22"/>
          <w:szCs w:val="22"/>
        </w:rPr>
        <w:t xml:space="preserve"> will:</w:t>
      </w:r>
    </w:p>
    <w:p w:rsidR="00CB7169" w:rsidRPr="00B64C23" w:rsidRDefault="00CB7169" w:rsidP="00B64C23">
      <w:pPr>
        <w:numPr>
          <w:ilvl w:val="1"/>
          <w:numId w:val="1"/>
        </w:numPr>
        <w:tabs>
          <w:tab w:val="clear" w:pos="1437"/>
          <w:tab w:val="num" w:pos="1080"/>
        </w:tabs>
        <w:spacing w:before="120"/>
        <w:ind w:left="1080" w:hanging="540"/>
        <w:jc w:val="both"/>
        <w:rPr>
          <w:rFonts w:cs="Arial"/>
          <w:sz w:val="22"/>
          <w:szCs w:val="22"/>
        </w:rPr>
      </w:pPr>
      <w:r w:rsidRPr="00B64C23">
        <w:rPr>
          <w:rFonts w:cs="Arial"/>
          <w:sz w:val="22"/>
          <w:szCs w:val="22"/>
        </w:rPr>
        <w:t>transfer the employees, assets, liabilities and responsibilities of</w:t>
      </w:r>
      <w:r w:rsidR="005F3193" w:rsidRPr="00B64C23">
        <w:rPr>
          <w:rFonts w:eastAsia="PMingLiU" w:cs="Arial"/>
          <w:color w:val="000000"/>
          <w:sz w:val="22"/>
          <w:szCs w:val="22"/>
          <w:lang w:eastAsia="zh-TW"/>
        </w:rPr>
        <w:t xml:space="preserve"> Queensland Racing Limited, Queensland Harness Racing Limited and Greyhounds Queensland Limited</w:t>
      </w:r>
      <w:r w:rsidRPr="00B64C23">
        <w:rPr>
          <w:rFonts w:eastAsia="PMingLiU" w:cs="Arial"/>
          <w:color w:val="000000"/>
          <w:sz w:val="22"/>
          <w:szCs w:val="22"/>
          <w:lang w:eastAsia="zh-TW"/>
        </w:rPr>
        <w:t xml:space="preserve"> to Racing Queensland Limited;</w:t>
      </w:r>
    </w:p>
    <w:p w:rsidR="00CB7169" w:rsidRPr="00B64C23" w:rsidRDefault="00CB7169" w:rsidP="00B64C23">
      <w:pPr>
        <w:numPr>
          <w:ilvl w:val="1"/>
          <w:numId w:val="1"/>
        </w:numPr>
        <w:tabs>
          <w:tab w:val="clear" w:pos="1437"/>
          <w:tab w:val="num" w:pos="1080"/>
        </w:tabs>
        <w:spacing w:before="120"/>
        <w:ind w:left="1080" w:hanging="540"/>
        <w:jc w:val="both"/>
        <w:rPr>
          <w:rFonts w:cs="Arial"/>
          <w:sz w:val="22"/>
          <w:szCs w:val="22"/>
        </w:rPr>
      </w:pPr>
      <w:r w:rsidRPr="00B64C23">
        <w:rPr>
          <w:rFonts w:eastAsia="PMingLiU" w:cs="Arial"/>
          <w:color w:val="000000"/>
          <w:sz w:val="22"/>
          <w:szCs w:val="22"/>
          <w:lang w:eastAsia="zh-TW"/>
        </w:rPr>
        <w:t>provide that a control body approval be granted for an indefinite period and the approval would only be cancelled if grounds existed to do so</w:t>
      </w:r>
      <w:r w:rsidR="007F2D23" w:rsidRPr="00B64C23">
        <w:rPr>
          <w:rFonts w:eastAsia="PMingLiU" w:cs="Arial"/>
          <w:color w:val="000000"/>
          <w:sz w:val="22"/>
          <w:szCs w:val="22"/>
          <w:lang w:eastAsia="zh-TW"/>
        </w:rPr>
        <w:t>;</w:t>
      </w:r>
    </w:p>
    <w:p w:rsidR="002713A1" w:rsidRPr="00B64C23" w:rsidRDefault="00CB7169" w:rsidP="00B64C23">
      <w:pPr>
        <w:numPr>
          <w:ilvl w:val="1"/>
          <w:numId w:val="1"/>
        </w:numPr>
        <w:tabs>
          <w:tab w:val="clear" w:pos="1437"/>
          <w:tab w:val="num" w:pos="1080"/>
        </w:tabs>
        <w:spacing w:before="120"/>
        <w:ind w:left="1080" w:hanging="540"/>
        <w:jc w:val="both"/>
        <w:rPr>
          <w:rFonts w:cs="Arial"/>
          <w:sz w:val="22"/>
          <w:szCs w:val="22"/>
        </w:rPr>
      </w:pPr>
      <w:r w:rsidRPr="00B64C23">
        <w:rPr>
          <w:rFonts w:eastAsia="PMingLiU" w:cs="Arial"/>
          <w:color w:val="000000"/>
          <w:sz w:val="22"/>
          <w:szCs w:val="22"/>
          <w:lang w:eastAsia="zh-TW"/>
        </w:rPr>
        <w:t>clarify the powers of a control body</w:t>
      </w:r>
      <w:r w:rsidR="002713A1" w:rsidRPr="00B64C23">
        <w:rPr>
          <w:rFonts w:eastAsia="PMingLiU" w:cs="Arial"/>
          <w:color w:val="000000"/>
          <w:sz w:val="22"/>
          <w:szCs w:val="22"/>
          <w:lang w:eastAsia="zh-TW"/>
        </w:rPr>
        <w:t>;</w:t>
      </w:r>
    </w:p>
    <w:p w:rsidR="007F2D23" w:rsidRPr="00B64C23" w:rsidRDefault="002713A1" w:rsidP="00B64C23">
      <w:pPr>
        <w:numPr>
          <w:ilvl w:val="1"/>
          <w:numId w:val="1"/>
        </w:numPr>
        <w:tabs>
          <w:tab w:val="clear" w:pos="1437"/>
          <w:tab w:val="num" w:pos="1080"/>
        </w:tabs>
        <w:spacing w:before="120"/>
        <w:ind w:left="1080" w:hanging="540"/>
        <w:jc w:val="both"/>
        <w:rPr>
          <w:rFonts w:cs="Arial"/>
          <w:sz w:val="22"/>
          <w:szCs w:val="22"/>
        </w:rPr>
      </w:pPr>
      <w:r w:rsidRPr="00B64C23">
        <w:rPr>
          <w:rFonts w:eastAsia="PMingLiU" w:cs="Arial"/>
          <w:color w:val="000000"/>
          <w:sz w:val="22"/>
          <w:szCs w:val="22"/>
          <w:lang w:eastAsia="zh-TW"/>
        </w:rPr>
        <w:t>omit provisions that establish</w:t>
      </w:r>
      <w:r w:rsidR="00CB7169" w:rsidRPr="00B64C23">
        <w:rPr>
          <w:rFonts w:eastAsia="PMingLiU" w:cs="Arial"/>
          <w:color w:val="000000"/>
          <w:sz w:val="22"/>
          <w:szCs w:val="22"/>
          <w:lang w:eastAsia="zh-TW"/>
        </w:rPr>
        <w:t xml:space="preserve"> country racing associations and the country racing committee which are advisory bodies for country racing in the thoroughbred code</w:t>
      </w:r>
      <w:r w:rsidRPr="00B64C23">
        <w:rPr>
          <w:rFonts w:eastAsia="PMingLiU" w:cs="Arial"/>
          <w:color w:val="000000"/>
          <w:sz w:val="22"/>
          <w:szCs w:val="22"/>
          <w:lang w:eastAsia="zh-TW"/>
        </w:rPr>
        <w:t xml:space="preserve"> (these bodies will be established under the constitution of Racing Queensland Limited)</w:t>
      </w:r>
      <w:r w:rsidR="007F2D23" w:rsidRPr="00B64C23">
        <w:rPr>
          <w:rFonts w:eastAsia="PMingLiU" w:cs="Arial"/>
          <w:color w:val="000000"/>
          <w:sz w:val="22"/>
          <w:szCs w:val="22"/>
          <w:lang w:eastAsia="zh-TW"/>
        </w:rPr>
        <w:t xml:space="preserve">; </w:t>
      </w:r>
    </w:p>
    <w:p w:rsidR="00200953" w:rsidRPr="00B64C23" w:rsidRDefault="007F2D23" w:rsidP="00B64C23">
      <w:pPr>
        <w:numPr>
          <w:ilvl w:val="1"/>
          <w:numId w:val="1"/>
        </w:numPr>
        <w:tabs>
          <w:tab w:val="clear" w:pos="1437"/>
          <w:tab w:val="num" w:pos="1080"/>
        </w:tabs>
        <w:spacing w:before="120"/>
        <w:ind w:left="1080" w:hanging="540"/>
        <w:jc w:val="both"/>
        <w:rPr>
          <w:rFonts w:cs="Arial"/>
          <w:sz w:val="22"/>
          <w:szCs w:val="22"/>
        </w:rPr>
      </w:pPr>
      <w:r w:rsidRPr="00B64C23">
        <w:rPr>
          <w:rFonts w:cs="Arial"/>
          <w:spacing w:val="4"/>
          <w:sz w:val="22"/>
          <w:szCs w:val="22"/>
        </w:rPr>
        <w:t>clarify provisions relating to the interpretation of the procedures that govern the requirements for taking and dealing with samples from licensed animals for the purposes of drug control</w:t>
      </w:r>
      <w:r w:rsidR="00200953" w:rsidRPr="00B64C23">
        <w:rPr>
          <w:rFonts w:cs="Arial"/>
          <w:spacing w:val="4"/>
          <w:sz w:val="22"/>
          <w:szCs w:val="22"/>
        </w:rPr>
        <w:t>;</w:t>
      </w:r>
      <w:r w:rsidR="002713A1" w:rsidRPr="00B64C23">
        <w:rPr>
          <w:rFonts w:cs="Arial"/>
          <w:spacing w:val="4"/>
          <w:sz w:val="22"/>
          <w:szCs w:val="22"/>
        </w:rPr>
        <w:t xml:space="preserve"> </w:t>
      </w:r>
      <w:r w:rsidR="002713A1" w:rsidRPr="00B64C23">
        <w:rPr>
          <w:rFonts w:eastAsia="PMingLiU" w:cs="Arial"/>
          <w:color w:val="000000"/>
          <w:sz w:val="22"/>
          <w:szCs w:val="22"/>
          <w:lang w:eastAsia="zh-TW"/>
        </w:rPr>
        <w:t xml:space="preserve">and </w:t>
      </w:r>
    </w:p>
    <w:p w:rsidR="007F2D23" w:rsidRPr="00B64C23" w:rsidRDefault="002713A1" w:rsidP="00B64C23">
      <w:pPr>
        <w:numPr>
          <w:ilvl w:val="1"/>
          <w:numId w:val="1"/>
        </w:numPr>
        <w:tabs>
          <w:tab w:val="clear" w:pos="1437"/>
          <w:tab w:val="num" w:pos="1080"/>
        </w:tabs>
        <w:spacing w:before="120"/>
        <w:ind w:left="1080" w:hanging="540"/>
        <w:jc w:val="both"/>
        <w:rPr>
          <w:rFonts w:cs="Arial"/>
          <w:sz w:val="22"/>
          <w:szCs w:val="22"/>
        </w:rPr>
      </w:pPr>
      <w:r w:rsidRPr="00B64C23">
        <w:rPr>
          <w:rFonts w:eastAsia="PMingLiU" w:cs="Arial"/>
          <w:color w:val="000000"/>
          <w:sz w:val="22"/>
          <w:szCs w:val="22"/>
          <w:lang w:eastAsia="zh-TW"/>
        </w:rPr>
        <w:t>make other minor amendments.</w:t>
      </w:r>
    </w:p>
    <w:p w:rsidR="00250FCE" w:rsidRPr="00B64C23" w:rsidRDefault="00617A86" w:rsidP="00B64C23">
      <w:pPr>
        <w:numPr>
          <w:ilvl w:val="0"/>
          <w:numId w:val="1"/>
        </w:numPr>
        <w:tabs>
          <w:tab w:val="clear" w:pos="720"/>
          <w:tab w:val="left" w:pos="567"/>
        </w:tabs>
        <w:spacing w:before="240"/>
        <w:ind w:left="567" w:hanging="567"/>
        <w:jc w:val="both"/>
        <w:rPr>
          <w:rFonts w:cs="Arial"/>
          <w:bCs/>
          <w:spacing w:val="-3"/>
          <w:sz w:val="22"/>
          <w:szCs w:val="22"/>
        </w:rPr>
      </w:pPr>
      <w:r w:rsidRPr="00B64C23">
        <w:rPr>
          <w:rFonts w:cs="Arial"/>
          <w:sz w:val="22"/>
          <w:szCs w:val="22"/>
        </w:rPr>
        <w:t xml:space="preserve">Amendments to the </w:t>
      </w:r>
      <w:r w:rsidRPr="00B64C23">
        <w:rPr>
          <w:rFonts w:cs="Arial"/>
          <w:i/>
          <w:sz w:val="22"/>
          <w:szCs w:val="22"/>
        </w:rPr>
        <w:t>Wagering Act 1998</w:t>
      </w:r>
      <w:r w:rsidRPr="00B64C23">
        <w:rPr>
          <w:rFonts w:cs="Arial"/>
          <w:sz w:val="22"/>
          <w:szCs w:val="22"/>
        </w:rPr>
        <w:t xml:space="preserve"> will provide for wagering tax revenue to be paid into the Community Investment Fund and an amendment to the </w:t>
      </w:r>
      <w:r w:rsidRPr="00B64C23">
        <w:rPr>
          <w:rFonts w:cs="Arial"/>
          <w:i/>
          <w:sz w:val="22"/>
          <w:szCs w:val="22"/>
        </w:rPr>
        <w:t>Gaming Machine Act 1991</w:t>
      </w:r>
      <w:r w:rsidRPr="00B64C23">
        <w:rPr>
          <w:rFonts w:cs="Arial"/>
          <w:sz w:val="22"/>
          <w:szCs w:val="22"/>
        </w:rPr>
        <w:t xml:space="preserve"> will provide for money in the Community Investment Fund to be used for </w:t>
      </w:r>
      <w:r w:rsidR="00652E7A" w:rsidRPr="00B64C23">
        <w:rPr>
          <w:rFonts w:cs="Arial"/>
          <w:sz w:val="22"/>
          <w:szCs w:val="22"/>
        </w:rPr>
        <w:t xml:space="preserve">the </w:t>
      </w:r>
      <w:r w:rsidRPr="00B64C23">
        <w:rPr>
          <w:rFonts w:cs="Arial"/>
          <w:sz w:val="22"/>
          <w:szCs w:val="22"/>
        </w:rPr>
        <w:t>development scheme capital works programs.</w:t>
      </w:r>
    </w:p>
    <w:p w:rsidR="001E760B" w:rsidRPr="00B64C23" w:rsidRDefault="001E760B" w:rsidP="00B64C23">
      <w:pPr>
        <w:numPr>
          <w:ilvl w:val="0"/>
          <w:numId w:val="1"/>
        </w:numPr>
        <w:tabs>
          <w:tab w:val="clear" w:pos="720"/>
          <w:tab w:val="left" w:pos="567"/>
        </w:tabs>
        <w:spacing w:before="240"/>
        <w:ind w:left="567" w:hanging="567"/>
        <w:jc w:val="both"/>
        <w:rPr>
          <w:rFonts w:cs="Arial"/>
          <w:bCs/>
          <w:spacing w:val="-3"/>
          <w:sz w:val="22"/>
          <w:szCs w:val="22"/>
        </w:rPr>
      </w:pPr>
      <w:r w:rsidRPr="00B64C23">
        <w:rPr>
          <w:rFonts w:cs="Arial"/>
          <w:bCs/>
          <w:spacing w:val="-3"/>
          <w:sz w:val="22"/>
          <w:szCs w:val="22"/>
          <w:u w:val="single"/>
        </w:rPr>
        <w:t>Cabinet approved</w:t>
      </w:r>
      <w:r w:rsidRPr="00B64C23">
        <w:rPr>
          <w:rFonts w:cs="Arial"/>
          <w:bCs/>
          <w:spacing w:val="-3"/>
          <w:sz w:val="22"/>
          <w:szCs w:val="22"/>
        </w:rPr>
        <w:t xml:space="preserve"> the introduction of the Racing and Other Legislation Amendment Bill 2010.</w:t>
      </w:r>
    </w:p>
    <w:p w:rsidR="00250FCE" w:rsidRPr="00B64C23" w:rsidRDefault="00250FCE" w:rsidP="00B64C23">
      <w:pPr>
        <w:keepNext/>
        <w:numPr>
          <w:ilvl w:val="0"/>
          <w:numId w:val="1"/>
        </w:numPr>
        <w:tabs>
          <w:tab w:val="clear" w:pos="720"/>
          <w:tab w:val="left" w:pos="567"/>
        </w:tabs>
        <w:spacing w:before="360"/>
        <w:ind w:left="567" w:hanging="567"/>
        <w:jc w:val="both"/>
        <w:rPr>
          <w:rFonts w:cs="Arial"/>
          <w:sz w:val="22"/>
          <w:szCs w:val="22"/>
        </w:rPr>
      </w:pPr>
      <w:r w:rsidRPr="00B64C23">
        <w:rPr>
          <w:rFonts w:cs="Arial"/>
          <w:i/>
          <w:sz w:val="22"/>
          <w:szCs w:val="22"/>
          <w:u w:val="single"/>
        </w:rPr>
        <w:t>Attachments</w:t>
      </w:r>
    </w:p>
    <w:p w:rsidR="00250FCE" w:rsidRPr="00B64C23" w:rsidRDefault="00861E26" w:rsidP="00B64C23">
      <w:pPr>
        <w:numPr>
          <w:ilvl w:val="0"/>
          <w:numId w:val="2"/>
        </w:numPr>
        <w:tabs>
          <w:tab w:val="clear" w:pos="814"/>
          <w:tab w:val="left" w:pos="1134"/>
        </w:tabs>
        <w:spacing w:before="120"/>
        <w:ind w:left="1134" w:hanging="567"/>
        <w:jc w:val="both"/>
        <w:rPr>
          <w:rFonts w:cs="Arial"/>
          <w:sz w:val="22"/>
          <w:szCs w:val="22"/>
        </w:rPr>
      </w:pPr>
      <w:hyperlink r:id="rId7" w:history="1">
        <w:r w:rsidR="00B47927" w:rsidRPr="00B64C23">
          <w:rPr>
            <w:rStyle w:val="Hyperlink"/>
            <w:rFonts w:cs="Arial"/>
            <w:sz w:val="22"/>
            <w:szCs w:val="22"/>
          </w:rPr>
          <w:t>Racing and Other Legislation Amendment Bill 2010</w:t>
        </w:r>
      </w:hyperlink>
    </w:p>
    <w:p w:rsidR="00250FCE" w:rsidRPr="00B64C23" w:rsidRDefault="00861E26" w:rsidP="00B64C23">
      <w:pPr>
        <w:numPr>
          <w:ilvl w:val="0"/>
          <w:numId w:val="2"/>
        </w:numPr>
        <w:tabs>
          <w:tab w:val="clear" w:pos="814"/>
          <w:tab w:val="left" w:pos="1134"/>
        </w:tabs>
        <w:spacing w:before="120"/>
        <w:ind w:left="1134" w:hanging="567"/>
        <w:jc w:val="both"/>
        <w:rPr>
          <w:rFonts w:cs="Arial"/>
          <w:sz w:val="22"/>
          <w:szCs w:val="22"/>
        </w:rPr>
      </w:pPr>
      <w:hyperlink r:id="rId8" w:history="1">
        <w:r w:rsidR="00B47927" w:rsidRPr="00B64C23">
          <w:rPr>
            <w:rStyle w:val="Hyperlink"/>
            <w:rFonts w:cs="Arial"/>
            <w:sz w:val="22"/>
            <w:szCs w:val="22"/>
          </w:rPr>
          <w:t>Explanatory Notes</w:t>
        </w:r>
      </w:hyperlink>
    </w:p>
    <w:sectPr w:rsidR="00250FCE" w:rsidRPr="00B64C23" w:rsidSect="00B64C23">
      <w:headerReference w:type="default" r:id="rId9"/>
      <w:footerReference w:type="default" r:id="rId10"/>
      <w:headerReference w:type="first" r:id="rId11"/>
      <w:pgSz w:w="11907" w:h="16840" w:code="9"/>
      <w:pgMar w:top="1418" w:right="1134" w:bottom="1191" w:left="1134" w:header="851" w:footer="851" w:gutter="0"/>
      <w:paperSrc w:first="7" w:other="7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BBE" w:rsidRDefault="004E1BBE">
      <w:r>
        <w:separator/>
      </w:r>
    </w:p>
  </w:endnote>
  <w:endnote w:type="continuationSeparator" w:id="0">
    <w:p w:rsidR="004E1BBE" w:rsidRDefault="004E1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953" w:rsidRPr="001141E1" w:rsidRDefault="00200953" w:rsidP="00250FCE">
    <w:pPr>
      <w:pStyle w:val="Footer"/>
      <w:tabs>
        <w:tab w:val="right" w:pos="8820"/>
      </w:tabs>
      <w:rPr>
        <w:rFonts w:cs="Arial"/>
        <w:sz w:val="16"/>
        <w:szCs w:val="16"/>
      </w:rPr>
    </w:pPr>
    <w:r w:rsidRPr="001141E1">
      <w:rPr>
        <w:rFonts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BBE" w:rsidRDefault="004E1BBE">
      <w:r>
        <w:separator/>
      </w:r>
    </w:p>
  </w:footnote>
  <w:footnote w:type="continuationSeparator" w:id="0">
    <w:p w:rsidR="004E1BBE" w:rsidRDefault="004E1B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953" w:rsidRPr="000400F9" w:rsidRDefault="002F6343" w:rsidP="00250FCE">
    <w:pPr>
      <w:pStyle w:val="Header"/>
      <w:ind w:firstLine="2880"/>
      <w:rPr>
        <w:rFonts w:cs="Arial"/>
        <w:b/>
        <w:sz w:val="22"/>
        <w:szCs w:val="22"/>
        <w:u w:val="single"/>
      </w:rPr>
    </w:pPr>
    <w:r>
      <w:rPr>
        <w:noProof/>
        <w:lang w:eastAsia="en-A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0953" w:rsidRPr="000400F9">
      <w:rPr>
        <w:rFonts w:cs="Arial"/>
        <w:b/>
        <w:sz w:val="22"/>
        <w:szCs w:val="22"/>
        <w:u w:val="single"/>
      </w:rPr>
      <w:t xml:space="preserve">Cabinet – </w:t>
    </w:r>
    <w:r w:rsidR="00200953">
      <w:rPr>
        <w:rFonts w:cs="Arial"/>
        <w:b/>
        <w:sz w:val="22"/>
        <w:szCs w:val="22"/>
        <w:u w:val="single"/>
      </w:rPr>
      <w:t>month year</w:t>
    </w:r>
  </w:p>
  <w:p w:rsidR="00200953" w:rsidRDefault="00200953" w:rsidP="00250FCE">
    <w:pPr>
      <w:pStyle w:val="Header"/>
      <w:spacing w:before="120"/>
      <w:rPr>
        <w:rFonts w:cs="Arial"/>
        <w:b/>
        <w:sz w:val="22"/>
        <w:szCs w:val="22"/>
        <w:u w:val="single"/>
      </w:rPr>
    </w:pPr>
    <w:r>
      <w:rPr>
        <w:rFonts w:cs="Arial"/>
        <w:b/>
        <w:sz w:val="22"/>
        <w:szCs w:val="22"/>
        <w:u w:val="single"/>
      </w:rPr>
      <w:t>submission subject</w:t>
    </w:r>
  </w:p>
  <w:p w:rsidR="00200953" w:rsidRDefault="00200953" w:rsidP="00250FCE">
    <w:pPr>
      <w:pStyle w:val="Header"/>
      <w:spacing w:before="120"/>
      <w:rPr>
        <w:rFonts w:cs="Arial"/>
        <w:b/>
        <w:sz w:val="22"/>
        <w:szCs w:val="22"/>
        <w:u w:val="single"/>
      </w:rPr>
    </w:pPr>
    <w:r>
      <w:rPr>
        <w:rFonts w:cs="Arial"/>
        <w:b/>
        <w:sz w:val="22"/>
        <w:szCs w:val="22"/>
        <w:u w:val="single"/>
      </w:rPr>
      <w:t>Minister/s title</w:t>
    </w:r>
  </w:p>
  <w:p w:rsidR="00200953" w:rsidRPr="00F10DF9" w:rsidRDefault="00200953" w:rsidP="00250FCE">
    <w:pPr>
      <w:pStyle w:val="Header"/>
      <w:pBdr>
        <w:bottom w:val="single" w:sz="8" w:space="1" w:color="auto"/>
      </w:pBdr>
      <w:spacing w:line="180" w:lineRule="exact"/>
      <w:rPr>
        <w:rFonts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953" w:rsidRPr="00B64C23" w:rsidRDefault="00200953" w:rsidP="00250FCE">
    <w:pPr>
      <w:pStyle w:val="Header"/>
      <w:ind w:firstLine="2880"/>
      <w:rPr>
        <w:rFonts w:cs="Arial"/>
        <w:b/>
        <w:sz w:val="22"/>
        <w:szCs w:val="22"/>
        <w:u w:val="single"/>
      </w:rPr>
    </w:pPr>
  </w:p>
  <w:p w:rsidR="00200953" w:rsidRPr="00B64C23" w:rsidRDefault="002F6343" w:rsidP="00250FCE">
    <w:pPr>
      <w:pStyle w:val="Header"/>
      <w:ind w:firstLine="2880"/>
      <w:rPr>
        <w:rFonts w:cs="Arial"/>
        <w:b/>
        <w:sz w:val="22"/>
        <w:szCs w:val="22"/>
        <w:u w:val="single"/>
      </w:rPr>
    </w:pPr>
    <w:r w:rsidRPr="00B64C23">
      <w:rPr>
        <w:rFonts w:cs="Arial"/>
        <w:noProof/>
        <w:sz w:val="22"/>
        <w:szCs w:val="22"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2" name="Picture 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0953" w:rsidRPr="00B64C23">
      <w:rPr>
        <w:rFonts w:cs="Arial"/>
        <w:b/>
        <w:sz w:val="22"/>
        <w:szCs w:val="22"/>
        <w:u w:val="single"/>
      </w:rPr>
      <w:t>Cabinet – April 2010</w:t>
    </w:r>
  </w:p>
  <w:p w:rsidR="00200953" w:rsidRPr="00B64C23" w:rsidRDefault="00200953" w:rsidP="00250FCE">
    <w:pPr>
      <w:pStyle w:val="Header"/>
      <w:rPr>
        <w:rFonts w:cs="Arial"/>
        <w:b/>
        <w:sz w:val="22"/>
        <w:szCs w:val="22"/>
        <w:u w:val="single"/>
      </w:rPr>
    </w:pPr>
  </w:p>
  <w:p w:rsidR="00200953" w:rsidRPr="00B64C23" w:rsidRDefault="00200953" w:rsidP="00250FCE">
    <w:pPr>
      <w:pStyle w:val="Header"/>
      <w:rPr>
        <w:rFonts w:cs="Arial"/>
        <w:b/>
        <w:i/>
        <w:sz w:val="22"/>
        <w:szCs w:val="22"/>
        <w:u w:val="single"/>
      </w:rPr>
    </w:pPr>
    <w:r w:rsidRPr="00B64C23">
      <w:rPr>
        <w:rFonts w:cs="Arial"/>
        <w:b/>
        <w:i/>
        <w:sz w:val="22"/>
        <w:szCs w:val="22"/>
        <w:u w:val="single"/>
      </w:rPr>
      <w:t>Racing and Other Legislation Amendment Bill 2010</w:t>
    </w:r>
  </w:p>
  <w:p w:rsidR="00200953" w:rsidRPr="00B64C23" w:rsidRDefault="00200953" w:rsidP="00B64C23">
    <w:pPr>
      <w:pStyle w:val="Header"/>
      <w:spacing w:before="120"/>
      <w:rPr>
        <w:rFonts w:cs="Arial"/>
        <w:b/>
        <w:sz w:val="22"/>
        <w:szCs w:val="22"/>
        <w:u w:val="single"/>
      </w:rPr>
    </w:pPr>
    <w:r w:rsidRPr="00B64C23">
      <w:rPr>
        <w:rFonts w:cs="Arial"/>
        <w:b/>
        <w:sz w:val="22"/>
        <w:szCs w:val="22"/>
        <w:u w:val="single"/>
      </w:rPr>
      <w:t>Minister for Tourism and Fair Trading</w:t>
    </w:r>
  </w:p>
  <w:p w:rsidR="00200953" w:rsidRPr="00B64C23" w:rsidRDefault="00200953" w:rsidP="00250FCE">
    <w:pPr>
      <w:pStyle w:val="Header"/>
      <w:pBdr>
        <w:bottom w:val="single" w:sz="8" w:space="1" w:color="auto"/>
      </w:pBdr>
      <w:spacing w:line="180" w:lineRule="exact"/>
      <w:rPr>
        <w:rFonts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87AE3"/>
    <w:multiLevelType w:val="multilevel"/>
    <w:tmpl w:val="734E1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bullet"/>
      <w:lvlText w:val=""/>
      <w:lvlJc w:val="left"/>
      <w:pPr>
        <w:tabs>
          <w:tab w:val="num" w:pos="1560"/>
        </w:tabs>
        <w:ind w:left="1560" w:hanging="480"/>
      </w:pPr>
      <w:rPr>
        <w:rFonts w:ascii="Wingdings" w:eastAsia="Times New Roman" w:hAnsi="Wingdings" w:hint="default"/>
        <w:sz w:val="3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7D3C31"/>
    <w:multiLevelType w:val="hybridMultilevel"/>
    <w:tmpl w:val="E68AC7A2"/>
    <w:lvl w:ilvl="0" w:tplc="40126C8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427D55"/>
    <w:multiLevelType w:val="hybridMultilevel"/>
    <w:tmpl w:val="A4386DA2"/>
    <w:lvl w:ilvl="0" w:tplc="53985458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176F87"/>
    <w:multiLevelType w:val="hybridMultilevel"/>
    <w:tmpl w:val="5C1C379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0EE5C6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  <w:color w:val="auto"/>
        <w:sz w:val="24"/>
        <w:szCs w:val="24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FCE"/>
    <w:rsid w:val="000216FD"/>
    <w:rsid w:val="00194912"/>
    <w:rsid w:val="001E13BF"/>
    <w:rsid w:val="001E760B"/>
    <w:rsid w:val="00200953"/>
    <w:rsid w:val="00200BCD"/>
    <w:rsid w:val="00204893"/>
    <w:rsid w:val="00250FCE"/>
    <w:rsid w:val="00267ED3"/>
    <w:rsid w:val="00270AFB"/>
    <w:rsid w:val="002713A1"/>
    <w:rsid w:val="002C5048"/>
    <w:rsid w:val="002F6343"/>
    <w:rsid w:val="003154A8"/>
    <w:rsid w:val="003B2665"/>
    <w:rsid w:val="003B6E55"/>
    <w:rsid w:val="003F5BE8"/>
    <w:rsid w:val="003F73B9"/>
    <w:rsid w:val="004A2734"/>
    <w:rsid w:val="004A4284"/>
    <w:rsid w:val="004E1BBE"/>
    <w:rsid w:val="00576F6C"/>
    <w:rsid w:val="005D1466"/>
    <w:rsid w:val="005F3193"/>
    <w:rsid w:val="00617A86"/>
    <w:rsid w:val="00652E7A"/>
    <w:rsid w:val="0067781D"/>
    <w:rsid w:val="006A7C80"/>
    <w:rsid w:val="00770172"/>
    <w:rsid w:val="007D08D9"/>
    <w:rsid w:val="007E18DA"/>
    <w:rsid w:val="007F2D23"/>
    <w:rsid w:val="007F5C8B"/>
    <w:rsid w:val="00861E26"/>
    <w:rsid w:val="008E6BF3"/>
    <w:rsid w:val="008F5AFC"/>
    <w:rsid w:val="0090403E"/>
    <w:rsid w:val="0092617F"/>
    <w:rsid w:val="00930178"/>
    <w:rsid w:val="009706E9"/>
    <w:rsid w:val="00980F3D"/>
    <w:rsid w:val="009D32A8"/>
    <w:rsid w:val="00A17ABB"/>
    <w:rsid w:val="00A92C40"/>
    <w:rsid w:val="00B47927"/>
    <w:rsid w:val="00B64C23"/>
    <w:rsid w:val="00BA2DFC"/>
    <w:rsid w:val="00BF17DC"/>
    <w:rsid w:val="00CB6703"/>
    <w:rsid w:val="00CB7169"/>
    <w:rsid w:val="00CC14B5"/>
    <w:rsid w:val="00CD481E"/>
    <w:rsid w:val="00CE6167"/>
    <w:rsid w:val="00D33B0F"/>
    <w:rsid w:val="00D72880"/>
    <w:rsid w:val="00DE7D8B"/>
    <w:rsid w:val="00DF51EF"/>
    <w:rsid w:val="00E00850"/>
    <w:rsid w:val="00E1617A"/>
    <w:rsid w:val="00EB2796"/>
    <w:rsid w:val="00EE3DAF"/>
    <w:rsid w:val="00F0215E"/>
    <w:rsid w:val="00F14A46"/>
    <w:rsid w:val="00F6071F"/>
    <w:rsid w:val="00F668DE"/>
    <w:rsid w:val="00FB2241"/>
    <w:rsid w:val="00FD52C0"/>
    <w:rsid w:val="00FD5DE7"/>
    <w:rsid w:val="00FF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FCE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0F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0FCE"/>
    <w:pPr>
      <w:tabs>
        <w:tab w:val="center" w:pos="4320"/>
        <w:tab w:val="right" w:pos="8640"/>
      </w:tabs>
    </w:pPr>
  </w:style>
  <w:style w:type="paragraph" w:customStyle="1" w:styleId="CharCharCharCharCharCharCharCharCharChar">
    <w:name w:val="Char Char Char Char Char Char Char Char Char Char"/>
    <w:basedOn w:val="Normal"/>
    <w:rsid w:val="00617A86"/>
    <w:pPr>
      <w:keepNext/>
      <w:numPr>
        <w:ilvl w:val="12"/>
      </w:numPr>
      <w:spacing w:after="160" w:line="240" w:lineRule="exact"/>
      <w:ind w:left="540" w:firstLine="6"/>
    </w:pPr>
    <w:rPr>
      <w:rFonts w:ascii="Verdana" w:hAnsi="Verdana" w:cs="Arial"/>
      <w:bCs/>
      <w:sz w:val="20"/>
      <w:szCs w:val="22"/>
      <w:lang w:val="en-US"/>
    </w:rPr>
  </w:style>
  <w:style w:type="paragraph" w:styleId="BalloonText">
    <w:name w:val="Balloon Text"/>
    <w:basedOn w:val="Normal"/>
    <w:semiHidden/>
    <w:rsid w:val="00E161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706E9"/>
    <w:rPr>
      <w:color w:val="0000FF"/>
      <w:u w:val="single"/>
    </w:rPr>
  </w:style>
  <w:style w:type="character" w:styleId="FollowedHyperlink">
    <w:name w:val="FollowedHyperlink"/>
    <w:basedOn w:val="DefaultParagraphFont"/>
    <w:rsid w:val="00A17ABB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RaOLAB10Exp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ttachments/RaOLAB10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1744</Characters>
  <Application>Microsoft Office Word</Application>
  <DocSecurity>0</DocSecurity>
  <Lines>30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2050</CharactersWithSpaces>
  <SharedDoc>false</SharedDoc>
  <HyperlinkBase>https://www.cabinet.qld.gov.au/documents/2010/Apr/ROLAB 2010/</HyperlinkBase>
  <HLinks>
    <vt:vector size="12" baseType="variant">
      <vt:variant>
        <vt:i4>3014702</vt:i4>
      </vt:variant>
      <vt:variant>
        <vt:i4>3</vt:i4>
      </vt:variant>
      <vt:variant>
        <vt:i4>0</vt:i4>
      </vt:variant>
      <vt:variant>
        <vt:i4>5</vt:i4>
      </vt:variant>
      <vt:variant>
        <vt:lpwstr>Attachments/RaOLAB10Exp.pdf</vt:lpwstr>
      </vt:variant>
      <vt:variant>
        <vt:lpwstr/>
      </vt:variant>
      <vt:variant>
        <vt:i4>655361</vt:i4>
      </vt:variant>
      <vt:variant>
        <vt:i4>0</vt:i4>
      </vt:variant>
      <vt:variant>
        <vt:i4>0</vt:i4>
      </vt:variant>
      <vt:variant>
        <vt:i4>5</vt:i4>
      </vt:variant>
      <vt:variant>
        <vt:lpwstr>Attachments/RaOLAB10.pdf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racing,wagering</cp:keywords>
  <dc:description/>
  <cp:lastModifiedBy/>
  <cp:revision>2</cp:revision>
  <cp:lastPrinted>2010-06-16T01:40:00Z</cp:lastPrinted>
  <dcterms:created xsi:type="dcterms:W3CDTF">2017-10-24T22:18:00Z</dcterms:created>
  <dcterms:modified xsi:type="dcterms:W3CDTF">2018-03-06T01:00:00Z</dcterms:modified>
  <cp:category>legislation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